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0DF46">
      <w:pPr>
        <w:keepNext w:val="0"/>
        <w:keepLines w:val="0"/>
        <w:pageBreakBefore w:val="0"/>
        <w:kinsoku/>
        <w:wordWrap/>
        <w:overflowPunct/>
        <w:topLinePunct w:val="0"/>
        <w:autoSpaceDE/>
        <w:autoSpaceDN/>
        <w:bidi w:val="0"/>
        <w:adjustRightInd/>
        <w:snapToGrid/>
        <w:spacing w:line="520" w:lineRule="exact"/>
        <w:textAlignment w:val="auto"/>
        <w:rPr>
          <w:rFonts w:hint="eastAsia" w:ascii="方正黑体_GBK" w:eastAsia="方正黑体_GBK"/>
          <w:sz w:val="32"/>
          <w:szCs w:val="32"/>
          <w:lang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1</w:t>
      </w:r>
    </w:p>
    <w:p w14:paraId="56EE515B">
      <w:pPr>
        <w:keepNext w:val="0"/>
        <w:keepLines w:val="0"/>
        <w:pageBreakBefore w:val="0"/>
        <w:kinsoku/>
        <w:wordWrap/>
        <w:overflowPunct/>
        <w:topLinePunct w:val="0"/>
        <w:autoSpaceDE/>
        <w:autoSpaceDN/>
        <w:bidi w:val="0"/>
        <w:adjustRightInd/>
        <w:snapToGrid/>
        <w:spacing w:line="520" w:lineRule="exact"/>
        <w:textAlignment w:val="auto"/>
        <w:rPr>
          <w:rFonts w:ascii="方正黑体_GBK" w:eastAsia="方正黑体_GBK"/>
          <w:sz w:val="32"/>
          <w:szCs w:val="32"/>
        </w:rPr>
      </w:pPr>
    </w:p>
    <w:p w14:paraId="2A9633D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安徽省中小学生职业体验中心认定标准</w:t>
      </w:r>
    </w:p>
    <w:p w14:paraId="605336B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（试行）</w:t>
      </w:r>
    </w:p>
    <w:p w14:paraId="7791C2D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_GBK" w:hAnsi="宋体" w:eastAsia="方正小标宋_GBK"/>
          <w:sz w:val="44"/>
          <w:szCs w:val="44"/>
          <w:lang w:val="en-US" w:eastAsia="zh-CN"/>
        </w:rPr>
      </w:pPr>
    </w:p>
    <w:tbl>
      <w:tblPr>
        <w:tblStyle w:val="5"/>
        <w:tblW w:w="9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15" w:type="dxa"/>
          <w:left w:w="15" w:type="dxa"/>
          <w:bottom w:w="15" w:type="dxa"/>
          <w:right w:w="15" w:type="dxa"/>
        </w:tblCellMar>
      </w:tblPr>
      <w:tblGrid>
        <w:gridCol w:w="1671"/>
        <w:gridCol w:w="7389"/>
      </w:tblGrid>
      <w:tr w14:paraId="751E10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506" w:hRule="atLeast"/>
          <w:tblHeader/>
          <w:jc w:val="center"/>
        </w:trPr>
        <w:tc>
          <w:tcPr>
            <w:tcW w:w="1671" w:type="dxa"/>
            <w:tcBorders>
              <w:tl2br w:val="nil"/>
              <w:tr2bl w:val="nil"/>
            </w:tcBorders>
            <w:shd w:val="clear" w:color="auto" w:fill="auto"/>
            <w:tcMar>
              <w:top w:w="20" w:type="dxa"/>
              <w:left w:w="20" w:type="dxa"/>
              <w:bottom w:w="0" w:type="dxa"/>
              <w:right w:w="20" w:type="dxa"/>
            </w:tcMar>
            <w:vAlign w:val="center"/>
          </w:tcPr>
          <w:p w14:paraId="3263FB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default" w:ascii="方正黑体_GBK" w:hAnsi="Calibri" w:eastAsia="方正黑体_GBK" w:cs="Times New Roman"/>
                <w:kern w:val="2"/>
                <w:sz w:val="28"/>
                <w:szCs w:val="28"/>
                <w:lang w:val="en-US" w:eastAsia="zh-CN" w:bidi="ar-SA"/>
              </w:rPr>
            </w:pPr>
            <w:r>
              <w:rPr>
                <w:rFonts w:hint="eastAsia" w:ascii="方正黑体_GBK" w:hAnsi="Calibri" w:eastAsia="方正黑体_GBK" w:cs="Times New Roman"/>
                <w:kern w:val="2"/>
                <w:sz w:val="28"/>
                <w:szCs w:val="28"/>
                <w:lang w:val="en-US" w:eastAsia="zh-CN" w:bidi="ar-SA"/>
              </w:rPr>
              <w:t>指标</w:t>
            </w:r>
            <w:r>
              <w:rPr>
                <w:rFonts w:hint="eastAsia" w:ascii="方正黑体_GBK" w:eastAsia="方正黑体_GBK" w:cs="Times New Roman"/>
                <w:kern w:val="2"/>
                <w:sz w:val="28"/>
                <w:szCs w:val="28"/>
                <w:lang w:val="en-US" w:eastAsia="zh-CN" w:bidi="ar-SA"/>
              </w:rPr>
              <w:t>名称</w:t>
            </w:r>
          </w:p>
        </w:tc>
        <w:tc>
          <w:tcPr>
            <w:tcW w:w="7389" w:type="dxa"/>
            <w:tcBorders>
              <w:tl2br w:val="nil"/>
              <w:tr2bl w:val="nil"/>
            </w:tcBorders>
            <w:shd w:val="clear" w:color="auto" w:fill="auto"/>
            <w:tcMar>
              <w:top w:w="20" w:type="dxa"/>
              <w:left w:w="20" w:type="dxa"/>
              <w:bottom w:w="0" w:type="dxa"/>
              <w:right w:w="20" w:type="dxa"/>
            </w:tcMar>
            <w:vAlign w:val="center"/>
          </w:tcPr>
          <w:p w14:paraId="00E1AA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黑体_GBK" w:hAnsi="Calibri" w:eastAsia="方正黑体_GBK" w:cs="Times New Roman"/>
                <w:kern w:val="2"/>
                <w:sz w:val="28"/>
                <w:szCs w:val="28"/>
                <w:lang w:val="en-US" w:eastAsia="zh-CN" w:bidi="ar-SA"/>
              </w:rPr>
            </w:pPr>
            <w:r>
              <w:rPr>
                <w:rFonts w:hint="eastAsia" w:ascii="方正黑体_GBK" w:hAnsi="Calibri" w:eastAsia="方正黑体_GBK" w:cs="Times New Roman"/>
                <w:kern w:val="2"/>
                <w:sz w:val="28"/>
                <w:szCs w:val="28"/>
                <w:lang w:val="en-US" w:eastAsia="zh-CN" w:bidi="ar-SA"/>
              </w:rPr>
              <w:t>指标内涵及要求</w:t>
            </w:r>
          </w:p>
        </w:tc>
      </w:tr>
      <w:tr w14:paraId="185E2F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4586" w:hRule="atLeast"/>
          <w:jc w:val="center"/>
        </w:trPr>
        <w:tc>
          <w:tcPr>
            <w:tcW w:w="1671" w:type="dxa"/>
            <w:tcBorders>
              <w:tl2br w:val="nil"/>
              <w:tr2bl w:val="nil"/>
            </w:tcBorders>
            <w:shd w:val="clear" w:color="auto" w:fill="auto"/>
            <w:tcMar>
              <w:top w:w="20" w:type="dxa"/>
              <w:left w:w="20" w:type="dxa"/>
              <w:bottom w:w="0" w:type="dxa"/>
              <w:right w:w="20" w:type="dxa"/>
            </w:tcMar>
            <w:vAlign w:val="center"/>
          </w:tcPr>
          <w:p w14:paraId="4E4CA6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一、功能定位</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10分</w:t>
            </w:r>
            <w:r>
              <w:rPr>
                <w:rFonts w:hint="eastAsia" w:ascii="方正仿宋_GBK" w:hAnsi="方正仿宋_GBK" w:eastAsia="方正仿宋_GBK" w:cs="方正仿宋_GBK"/>
                <w:color w:val="000000"/>
                <w:sz w:val="28"/>
                <w:szCs w:val="28"/>
                <w:lang w:eastAsia="zh-CN"/>
              </w:rPr>
              <w:t>）</w:t>
            </w:r>
          </w:p>
        </w:tc>
        <w:tc>
          <w:tcPr>
            <w:tcW w:w="7389" w:type="dxa"/>
            <w:tcBorders>
              <w:tl2br w:val="nil"/>
              <w:tr2bl w:val="nil"/>
            </w:tcBorders>
            <w:shd w:val="clear" w:color="auto" w:fill="auto"/>
            <w:tcMar>
              <w:top w:w="20" w:type="dxa"/>
              <w:left w:w="20" w:type="dxa"/>
              <w:bottom w:w="0" w:type="dxa"/>
              <w:right w:w="20" w:type="dxa"/>
            </w:tcMar>
            <w:vAlign w:val="center"/>
          </w:tcPr>
          <w:p w14:paraId="1A7633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1.建设目标</w:t>
            </w:r>
          </w:p>
          <w:p w14:paraId="286202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w:t>
            </w:r>
            <w:bookmarkStart w:id="0" w:name="_GoBack"/>
            <w:bookmarkEnd w:id="0"/>
            <w:r>
              <w:rPr>
                <w:rFonts w:hint="eastAsia" w:ascii="方正仿宋_GBK" w:hAnsi="方正仿宋_GBK" w:eastAsia="方正仿宋_GBK" w:cs="方正仿宋_GBK"/>
                <w:sz w:val="28"/>
                <w:szCs w:val="28"/>
                <w:lang w:val="en-US" w:eastAsia="zh-CN"/>
              </w:rPr>
              <w:t>能提供真实的职业情境或模拟场景；能帮助学生培养职业兴趣和职业规划意识；能提升学生的职业技能和综合素养。</w:t>
            </w:r>
          </w:p>
          <w:p w14:paraId="6D95B1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（2）普职融通、社会参与，有3所以上普通中小学参与，有1所以上企业支持</w:t>
            </w:r>
            <w:r>
              <w:rPr>
                <w:rFonts w:hint="eastAsia" w:ascii="方正仿宋_GBK" w:hAnsi="方正仿宋_GBK" w:eastAsia="方正仿宋_GBK" w:cs="方正仿宋_GBK"/>
                <w:color w:val="000000"/>
                <w:sz w:val="28"/>
                <w:szCs w:val="28"/>
                <w:lang w:eastAsia="zh-CN"/>
              </w:rPr>
              <w:t>。</w:t>
            </w:r>
          </w:p>
          <w:p w14:paraId="21E983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2.建设要求</w:t>
            </w:r>
          </w:p>
          <w:p w14:paraId="557DDB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职业体验中心依托专业应为本校重点发展优势专业。</w:t>
            </w:r>
          </w:p>
          <w:p w14:paraId="487AF9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具备符合职业特点的场地空间，配备先进、实用的设备和工具。</w:t>
            </w:r>
          </w:p>
          <w:p w14:paraId="2E3D59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lang w:val="en-US" w:eastAsia="zh-CN"/>
              </w:rPr>
              <w:t>（3）能满足中小学生不同层次的职业体验要求；能面向中小学</w:t>
            </w:r>
            <w:r>
              <w:rPr>
                <w:rFonts w:hint="eastAsia" w:ascii="方正仿宋_GBK" w:hAnsi="方正仿宋_GBK" w:eastAsia="方正仿宋_GBK" w:cs="方正仿宋_GBK"/>
                <w:color w:val="000000"/>
                <w:spacing w:val="-6"/>
                <w:sz w:val="28"/>
                <w:szCs w:val="28"/>
              </w:rPr>
              <w:t>生开展不同层次的职业启蒙教育；能兼顾专业教学、技能培训、职业技能鉴定、继续教育等方面的需求</w:t>
            </w:r>
            <w:r>
              <w:rPr>
                <w:rFonts w:hint="eastAsia" w:ascii="方正仿宋_GBK" w:hAnsi="方正仿宋_GBK" w:eastAsia="方正仿宋_GBK" w:cs="方正仿宋_GBK"/>
                <w:color w:val="000000"/>
                <w:spacing w:val="-6"/>
                <w:sz w:val="28"/>
                <w:szCs w:val="28"/>
                <w:lang w:eastAsia="zh-CN"/>
              </w:rPr>
              <w:t>。</w:t>
            </w:r>
          </w:p>
        </w:tc>
      </w:tr>
      <w:tr w14:paraId="2BC89D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5324" w:hRule="atLeast"/>
          <w:jc w:val="center"/>
        </w:trPr>
        <w:tc>
          <w:tcPr>
            <w:tcW w:w="1671" w:type="dxa"/>
            <w:tcBorders>
              <w:tl2br w:val="nil"/>
              <w:tr2bl w:val="nil"/>
            </w:tcBorders>
            <w:shd w:val="clear" w:color="auto" w:fill="auto"/>
            <w:tcMar>
              <w:top w:w="20" w:type="dxa"/>
              <w:left w:w="20" w:type="dxa"/>
              <w:bottom w:w="0" w:type="dxa"/>
              <w:right w:w="20" w:type="dxa"/>
            </w:tcMar>
            <w:vAlign w:val="center"/>
          </w:tcPr>
          <w:p w14:paraId="38C301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二、设备设施及环境布置</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25分</w:t>
            </w:r>
            <w:r>
              <w:rPr>
                <w:rFonts w:hint="eastAsia" w:ascii="方正仿宋_GBK" w:hAnsi="方正仿宋_GBK" w:eastAsia="方正仿宋_GBK" w:cs="方正仿宋_GBK"/>
                <w:color w:val="000000"/>
                <w:sz w:val="28"/>
                <w:szCs w:val="28"/>
                <w:lang w:eastAsia="zh-CN"/>
              </w:rPr>
              <w:t>）</w:t>
            </w:r>
          </w:p>
        </w:tc>
        <w:tc>
          <w:tcPr>
            <w:tcW w:w="7389" w:type="dxa"/>
            <w:tcBorders>
              <w:tl2br w:val="nil"/>
              <w:tr2bl w:val="nil"/>
            </w:tcBorders>
            <w:shd w:val="clear" w:color="auto" w:fill="auto"/>
            <w:tcMar>
              <w:top w:w="20" w:type="dxa"/>
              <w:left w:w="20" w:type="dxa"/>
              <w:bottom w:w="0" w:type="dxa"/>
              <w:right w:w="20" w:type="dxa"/>
            </w:tcMar>
            <w:vAlign w:val="center"/>
          </w:tcPr>
          <w:p w14:paraId="4FD798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1.基本要求</w:t>
            </w:r>
          </w:p>
          <w:p w14:paraId="472DF7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（1）建筑面积不小于</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000平方米，</w:t>
            </w:r>
            <w:r>
              <w:rPr>
                <w:rFonts w:hint="eastAsia" w:ascii="方正仿宋_GBK" w:hAnsi="方正仿宋_GBK" w:eastAsia="方正仿宋_GBK" w:cs="方正仿宋_GBK"/>
                <w:color w:val="000000"/>
                <w:sz w:val="28"/>
                <w:szCs w:val="28"/>
                <w:lang w:val="en-US" w:eastAsia="zh-CN"/>
              </w:rPr>
              <w:t>设有职业体验区、教学区和展示区，各区划分明确，便于学生流动和教师管理</w:t>
            </w:r>
            <w:r>
              <w:rPr>
                <w:rFonts w:hint="eastAsia" w:ascii="方正仿宋_GBK" w:hAnsi="方正仿宋_GBK" w:eastAsia="方正仿宋_GBK" w:cs="方正仿宋_GBK"/>
                <w:color w:val="000000"/>
                <w:sz w:val="28"/>
                <w:szCs w:val="28"/>
                <w:lang w:eastAsia="zh-CN"/>
              </w:rPr>
              <w:t>。</w:t>
            </w:r>
          </w:p>
          <w:p w14:paraId="235B79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（2）</w:t>
            </w:r>
            <w:r>
              <w:rPr>
                <w:rFonts w:hint="eastAsia" w:ascii="方正仿宋_GBK" w:hAnsi="方正仿宋_GBK" w:eastAsia="方正仿宋_GBK" w:cs="方正仿宋_GBK"/>
                <w:color w:val="000000"/>
                <w:sz w:val="28"/>
                <w:szCs w:val="28"/>
                <w:lang w:val="en-US" w:eastAsia="zh-CN"/>
              </w:rPr>
              <w:t>场地和设备能满足每次不低于100名中小</w:t>
            </w:r>
            <w:r>
              <w:rPr>
                <w:rFonts w:hint="eastAsia" w:ascii="方正仿宋_GBK" w:hAnsi="方正仿宋_GBK" w:eastAsia="方正仿宋_GBK" w:cs="方正仿宋_GBK"/>
                <w:color w:val="000000"/>
                <w:sz w:val="28"/>
                <w:szCs w:val="28"/>
                <w:lang w:eastAsia="zh-CN"/>
              </w:rPr>
              <w:t>学生</w:t>
            </w:r>
            <w:r>
              <w:rPr>
                <w:rFonts w:hint="eastAsia" w:ascii="方正仿宋_GBK" w:hAnsi="方正仿宋_GBK" w:eastAsia="方正仿宋_GBK" w:cs="方正仿宋_GBK"/>
                <w:color w:val="000000"/>
                <w:sz w:val="28"/>
                <w:szCs w:val="28"/>
                <w:lang w:val="en-US" w:eastAsia="zh-CN"/>
              </w:rPr>
              <w:t>开展</w:t>
            </w:r>
            <w:r>
              <w:rPr>
                <w:rFonts w:hint="eastAsia" w:ascii="方正仿宋_GBK" w:hAnsi="方正仿宋_GBK" w:eastAsia="方正仿宋_GBK" w:cs="方正仿宋_GBK"/>
                <w:color w:val="000000"/>
                <w:sz w:val="28"/>
                <w:szCs w:val="28"/>
                <w:lang w:eastAsia="zh-CN"/>
              </w:rPr>
              <w:t>职业体验。</w:t>
            </w:r>
          </w:p>
          <w:p w14:paraId="50E8E5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环境布置</w:t>
            </w:r>
            <w:r>
              <w:rPr>
                <w:rFonts w:hint="eastAsia" w:ascii="方正仿宋_GBK" w:hAnsi="方正仿宋_GBK" w:eastAsia="方正仿宋_GBK" w:cs="方正仿宋_GBK"/>
                <w:color w:val="000000"/>
                <w:sz w:val="28"/>
                <w:szCs w:val="28"/>
                <w:lang w:val="en-US" w:eastAsia="zh-CN"/>
              </w:rPr>
              <w:t>与安全设施</w:t>
            </w:r>
          </w:p>
          <w:p w14:paraId="012A07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创设与所体验的职业相匹配的人文环境、工作环境、卫生环境</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以增强职业体验的真实感</w:t>
            </w:r>
            <w:r>
              <w:rPr>
                <w:rFonts w:hint="eastAsia" w:ascii="方正仿宋_GBK" w:hAnsi="方正仿宋_GBK" w:eastAsia="方正仿宋_GBK" w:cs="方正仿宋_GBK"/>
                <w:color w:val="000000"/>
                <w:sz w:val="28"/>
                <w:szCs w:val="28"/>
                <w:lang w:eastAsia="zh-CN"/>
              </w:rPr>
              <w:t>。</w:t>
            </w:r>
          </w:p>
          <w:p w14:paraId="24E7F2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注重职业操作规范、职业素养以及工匠精神教育</w:t>
            </w:r>
            <w:r>
              <w:rPr>
                <w:rFonts w:hint="eastAsia" w:ascii="方正仿宋_GBK" w:hAnsi="方正仿宋_GBK" w:eastAsia="方正仿宋_GBK" w:cs="方正仿宋_GBK"/>
                <w:color w:val="000000"/>
                <w:sz w:val="28"/>
                <w:szCs w:val="28"/>
                <w:lang w:eastAsia="zh-CN"/>
              </w:rPr>
              <w:t>。</w:t>
            </w:r>
          </w:p>
          <w:p w14:paraId="648496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防挤、防火、防盗、防爆、防破坏等基本安全设施设备符合相关规定，疏散通道安全、合理，配备视频监控系统；工科类的职业体验中心可能产生的废气、废液、废渣和粉尘的处理、噪音对周边的影响等符合环保要求</w:t>
            </w:r>
            <w:r>
              <w:rPr>
                <w:rFonts w:hint="eastAsia" w:ascii="方正仿宋_GBK" w:hAnsi="方正仿宋_GBK" w:eastAsia="方正仿宋_GBK" w:cs="方正仿宋_GBK"/>
                <w:color w:val="000000"/>
                <w:sz w:val="28"/>
                <w:szCs w:val="28"/>
                <w:lang w:eastAsia="zh-CN"/>
              </w:rPr>
              <w:t>。</w:t>
            </w:r>
          </w:p>
          <w:p w14:paraId="20A244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）有满足职业要求的通风、照明、控温、控湿等设施设备；水、电、气等管道布局合理、规范、安全、便于检修</w:t>
            </w:r>
            <w:r>
              <w:rPr>
                <w:rFonts w:hint="eastAsia" w:ascii="方正仿宋_GBK" w:hAnsi="方正仿宋_GBK" w:eastAsia="方正仿宋_GBK" w:cs="方正仿宋_GBK"/>
                <w:color w:val="000000"/>
                <w:sz w:val="28"/>
                <w:szCs w:val="28"/>
                <w:lang w:eastAsia="zh-CN"/>
              </w:rPr>
              <w:t>。</w:t>
            </w:r>
          </w:p>
        </w:tc>
      </w:tr>
      <w:tr w14:paraId="05158A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23" w:hRule="atLeast"/>
          <w:jc w:val="center"/>
        </w:trPr>
        <w:tc>
          <w:tcPr>
            <w:tcW w:w="1671" w:type="dxa"/>
            <w:tcBorders>
              <w:tl2br w:val="nil"/>
              <w:tr2bl w:val="nil"/>
            </w:tcBorders>
            <w:shd w:val="clear" w:color="auto" w:fill="auto"/>
            <w:tcMar>
              <w:top w:w="20" w:type="dxa"/>
              <w:left w:w="20" w:type="dxa"/>
              <w:bottom w:w="0" w:type="dxa"/>
              <w:right w:w="20" w:type="dxa"/>
            </w:tcMar>
            <w:vAlign w:val="center"/>
          </w:tcPr>
          <w:p w14:paraId="7F5450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三、课程建设</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20分</w:t>
            </w:r>
            <w:r>
              <w:rPr>
                <w:rFonts w:hint="eastAsia" w:ascii="方正仿宋_GBK" w:hAnsi="方正仿宋_GBK" w:eastAsia="方正仿宋_GBK" w:cs="方正仿宋_GBK"/>
                <w:color w:val="000000"/>
                <w:sz w:val="28"/>
                <w:szCs w:val="28"/>
                <w:lang w:eastAsia="zh-CN"/>
              </w:rPr>
              <w:t>）</w:t>
            </w:r>
          </w:p>
        </w:tc>
        <w:tc>
          <w:tcPr>
            <w:tcW w:w="7389" w:type="dxa"/>
            <w:tcBorders>
              <w:tl2br w:val="nil"/>
              <w:tr2bl w:val="nil"/>
            </w:tcBorders>
            <w:shd w:val="clear" w:color="auto" w:fill="auto"/>
            <w:tcMar>
              <w:top w:w="20" w:type="dxa"/>
              <w:left w:w="20" w:type="dxa"/>
              <w:bottom w:w="0" w:type="dxa"/>
              <w:right w:w="20" w:type="dxa"/>
            </w:tcMar>
            <w:vAlign w:val="center"/>
          </w:tcPr>
          <w:p w14:paraId="160EEE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1.建设目标</w:t>
            </w:r>
          </w:p>
          <w:p w14:paraId="6F7433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以完整的职业项目分析、工作任务分析、工作过程分析、职业能力分析为依据，依据中小学不同的体验对象，区别建</w:t>
            </w:r>
            <w:r>
              <w:rPr>
                <w:rFonts w:hint="eastAsia" w:ascii="方正仿宋_GBK" w:hAnsi="方正仿宋_GBK" w:eastAsia="方正仿宋_GBK" w:cs="方正仿宋_GBK"/>
                <w:color w:val="000000"/>
                <w:sz w:val="28"/>
                <w:szCs w:val="28"/>
                <w:lang w:val="en-US" w:eastAsia="zh-CN"/>
              </w:rPr>
              <w:t>设启蒙课程、体验课程和实训课程。</w:t>
            </w:r>
          </w:p>
          <w:p w14:paraId="655B29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2.建设要求</w:t>
            </w:r>
          </w:p>
          <w:p w14:paraId="6CA6CE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（1）需建设3门以上同一职业的启蒙课程，附有</w:t>
            </w:r>
            <w:r>
              <w:rPr>
                <w:rFonts w:hint="eastAsia" w:ascii="方正仿宋_GBK" w:hAnsi="方正仿宋_GBK" w:eastAsia="方正仿宋_GBK" w:cs="方正仿宋_GBK"/>
                <w:color w:val="000000"/>
                <w:sz w:val="28"/>
                <w:szCs w:val="28"/>
              </w:rPr>
              <w:t>向</w:t>
            </w:r>
            <w:r>
              <w:rPr>
                <w:rFonts w:hint="eastAsia" w:ascii="方正仿宋_GBK" w:hAnsi="方正仿宋_GBK" w:eastAsia="方正仿宋_GBK" w:cs="方正仿宋_GBK"/>
                <w:color w:val="000000"/>
                <w:sz w:val="28"/>
                <w:szCs w:val="28"/>
                <w:lang w:val="en-US" w:eastAsia="zh-CN"/>
              </w:rPr>
              <w:t>明确的课程标准、教案和讲义等。</w:t>
            </w:r>
          </w:p>
          <w:p w14:paraId="36DE64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（2）体验课程</w:t>
            </w:r>
            <w:r>
              <w:rPr>
                <w:rFonts w:hint="eastAsia" w:ascii="方正仿宋_GBK" w:hAnsi="方正仿宋_GBK" w:eastAsia="方正仿宋_GBK" w:cs="方正仿宋_GBK"/>
                <w:color w:val="000000"/>
                <w:sz w:val="28"/>
                <w:szCs w:val="28"/>
              </w:rPr>
              <w:t>标准科学，流程合理、规范，</w:t>
            </w:r>
            <w:r>
              <w:rPr>
                <w:rFonts w:hint="eastAsia" w:ascii="方正仿宋_GBK" w:hAnsi="方正仿宋_GBK" w:eastAsia="方正仿宋_GBK" w:cs="方正仿宋_GBK"/>
                <w:color w:val="000000"/>
                <w:sz w:val="28"/>
                <w:szCs w:val="28"/>
                <w:lang w:val="en-US" w:eastAsia="zh-CN"/>
              </w:rPr>
              <w:t>注重项目的多样性和可操作性，能激发体验者兴趣，</w:t>
            </w:r>
            <w:r>
              <w:rPr>
                <w:rFonts w:hint="eastAsia" w:ascii="方正仿宋_GBK" w:hAnsi="方正仿宋_GBK" w:eastAsia="方正仿宋_GBK" w:cs="方正仿宋_GBK"/>
                <w:color w:val="000000"/>
                <w:sz w:val="28"/>
                <w:szCs w:val="28"/>
              </w:rPr>
              <w:t>能对</w:t>
            </w:r>
            <w:r>
              <w:rPr>
                <w:rFonts w:hint="eastAsia" w:ascii="方正仿宋_GBK" w:hAnsi="方正仿宋_GBK" w:eastAsia="方正仿宋_GBK" w:cs="方正仿宋_GBK"/>
                <w:color w:val="000000"/>
                <w:sz w:val="28"/>
                <w:szCs w:val="28"/>
                <w:lang w:val="en-US" w:eastAsia="zh-CN"/>
              </w:rPr>
              <w:t>体验者</w:t>
            </w:r>
            <w:r>
              <w:rPr>
                <w:rFonts w:hint="eastAsia" w:ascii="方正仿宋_GBK" w:hAnsi="方正仿宋_GBK" w:eastAsia="方正仿宋_GBK" w:cs="方正仿宋_GBK"/>
                <w:color w:val="000000"/>
                <w:sz w:val="28"/>
                <w:szCs w:val="28"/>
              </w:rPr>
              <w:t>进行过程考核和综合能力测评</w:t>
            </w:r>
            <w:r>
              <w:rPr>
                <w:rFonts w:hint="eastAsia" w:ascii="方正仿宋_GBK" w:hAnsi="方正仿宋_GBK" w:eastAsia="方正仿宋_GBK" w:cs="方正仿宋_GBK"/>
                <w:color w:val="000000"/>
                <w:sz w:val="28"/>
                <w:szCs w:val="28"/>
                <w:lang w:eastAsia="zh-CN"/>
              </w:rPr>
              <w:t>。</w:t>
            </w:r>
          </w:p>
          <w:p w14:paraId="192D4B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有指向明确的职业</w:t>
            </w:r>
            <w:r>
              <w:rPr>
                <w:rFonts w:hint="eastAsia" w:ascii="方正仿宋_GBK" w:hAnsi="方正仿宋_GBK" w:eastAsia="方正仿宋_GBK" w:cs="方正仿宋_GBK"/>
                <w:sz w:val="30"/>
                <w:szCs w:val="30"/>
                <w:lang w:val="en-US" w:eastAsia="zh-CN"/>
              </w:rPr>
              <w:t>启蒙（体验）</w:t>
            </w:r>
            <w:r>
              <w:rPr>
                <w:rFonts w:hint="eastAsia" w:ascii="方正仿宋_GBK" w:hAnsi="方正仿宋_GBK" w:eastAsia="方正仿宋_GBK" w:cs="方正仿宋_GBK"/>
                <w:color w:val="000000"/>
                <w:sz w:val="28"/>
                <w:szCs w:val="28"/>
              </w:rPr>
              <w:t>课程</w:t>
            </w:r>
            <w:r>
              <w:rPr>
                <w:rFonts w:hint="eastAsia" w:ascii="方正仿宋_GBK" w:hAnsi="方正仿宋_GBK" w:eastAsia="方正仿宋_GBK" w:cs="方正仿宋_GBK"/>
                <w:color w:val="000000"/>
                <w:sz w:val="28"/>
                <w:szCs w:val="28"/>
                <w:lang w:val="en-US" w:eastAsia="zh-CN"/>
              </w:rPr>
              <w:t>标准</w:t>
            </w:r>
            <w:r>
              <w:rPr>
                <w:rFonts w:hint="eastAsia" w:ascii="方正仿宋_GBK" w:hAnsi="方正仿宋_GBK" w:eastAsia="方正仿宋_GBK" w:cs="方正仿宋_GBK"/>
                <w:color w:val="000000"/>
                <w:sz w:val="28"/>
                <w:szCs w:val="28"/>
              </w:rPr>
              <w:t>、讲义</w:t>
            </w:r>
            <w:r>
              <w:rPr>
                <w:rFonts w:hint="eastAsia" w:ascii="方正仿宋_GBK" w:hAnsi="方正仿宋_GBK" w:eastAsia="方正仿宋_GBK" w:cs="方正仿宋_GBK"/>
                <w:color w:val="000000"/>
                <w:sz w:val="28"/>
                <w:szCs w:val="28"/>
                <w:lang w:eastAsia="zh-CN"/>
              </w:rPr>
              <w:t>。</w:t>
            </w:r>
          </w:p>
          <w:p w14:paraId="51D68F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4.建有3门以上同职业的职业</w:t>
            </w:r>
            <w:r>
              <w:rPr>
                <w:rFonts w:hint="eastAsia" w:ascii="方正仿宋_GBK" w:hAnsi="方正仿宋_GBK" w:eastAsia="方正仿宋_GBK" w:cs="方正仿宋_GBK"/>
                <w:sz w:val="30"/>
                <w:szCs w:val="30"/>
                <w:lang w:val="en-US" w:eastAsia="zh-CN"/>
              </w:rPr>
              <w:t>启蒙（体验）</w:t>
            </w:r>
            <w:r>
              <w:rPr>
                <w:rFonts w:hint="eastAsia" w:ascii="方正仿宋_GBK" w:hAnsi="方正仿宋_GBK" w:eastAsia="方正仿宋_GBK" w:cs="方正仿宋_GBK"/>
                <w:color w:val="000000"/>
                <w:sz w:val="28"/>
                <w:szCs w:val="28"/>
                <w:lang w:val="en-US" w:eastAsia="zh-CN"/>
              </w:rPr>
              <w:t>课程</w:t>
            </w:r>
            <w:r>
              <w:rPr>
                <w:rFonts w:hint="eastAsia" w:ascii="方正仿宋_GBK" w:hAnsi="方正仿宋_GBK" w:eastAsia="方正仿宋_GBK" w:cs="方正仿宋_GBK"/>
                <w:color w:val="000000"/>
                <w:sz w:val="28"/>
                <w:szCs w:val="28"/>
                <w:lang w:eastAsia="zh-CN"/>
              </w:rPr>
              <w:t>。</w:t>
            </w:r>
          </w:p>
          <w:p w14:paraId="4B1620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建有职业体验质量保证体系，体验模式、管理运行模式达到职业发展先进水平</w:t>
            </w:r>
            <w:r>
              <w:rPr>
                <w:rFonts w:hint="eastAsia" w:ascii="方正仿宋_GBK" w:hAnsi="方正仿宋_GBK" w:eastAsia="方正仿宋_GBK" w:cs="方正仿宋_GBK"/>
                <w:color w:val="000000"/>
                <w:sz w:val="28"/>
                <w:szCs w:val="28"/>
                <w:lang w:eastAsia="zh-CN"/>
              </w:rPr>
              <w:t>。</w:t>
            </w:r>
          </w:p>
          <w:p w14:paraId="57232B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职业体验项目标准科学，流程合理、规范，</w:t>
            </w:r>
            <w:r>
              <w:rPr>
                <w:rFonts w:hint="eastAsia" w:ascii="方正仿宋_GBK" w:hAnsi="方正仿宋_GBK" w:eastAsia="方正仿宋_GBK" w:cs="方正仿宋_GBK"/>
                <w:color w:val="000000"/>
                <w:sz w:val="28"/>
                <w:szCs w:val="28"/>
                <w:lang w:val="en-US" w:eastAsia="zh-CN"/>
              </w:rPr>
              <w:t>注重项目的多样性和可操作性，能激发体验者兴趣，</w:t>
            </w:r>
            <w:r>
              <w:rPr>
                <w:rFonts w:hint="eastAsia" w:ascii="方正仿宋_GBK" w:hAnsi="方正仿宋_GBK" w:eastAsia="方正仿宋_GBK" w:cs="方正仿宋_GBK"/>
                <w:color w:val="000000"/>
                <w:sz w:val="28"/>
                <w:szCs w:val="28"/>
              </w:rPr>
              <w:t>能对需要者进行过程考核和综合能力测评</w:t>
            </w:r>
            <w:r>
              <w:rPr>
                <w:rFonts w:hint="eastAsia" w:ascii="方正仿宋_GBK" w:hAnsi="方正仿宋_GBK" w:eastAsia="方正仿宋_GBK" w:cs="方正仿宋_GBK"/>
                <w:color w:val="000000"/>
                <w:sz w:val="28"/>
                <w:szCs w:val="28"/>
                <w:lang w:eastAsia="zh-CN"/>
              </w:rPr>
              <w:t>。</w:t>
            </w:r>
          </w:p>
          <w:p w14:paraId="3882D6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体验内容全面系统，能认知过去、突出当下、展示未来；依据不同体验课时，提出相应要求</w:t>
            </w:r>
            <w:r>
              <w:rPr>
                <w:rFonts w:hint="eastAsia" w:ascii="方正仿宋_GBK" w:hAnsi="方正仿宋_GBK" w:eastAsia="方正仿宋_GBK" w:cs="方正仿宋_GBK"/>
                <w:color w:val="000000"/>
                <w:sz w:val="28"/>
                <w:szCs w:val="28"/>
                <w:lang w:eastAsia="zh-CN"/>
              </w:rPr>
              <w:t>。</w:t>
            </w:r>
          </w:p>
        </w:tc>
      </w:tr>
      <w:tr w14:paraId="3E1C55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312" w:hRule="atLeast"/>
          <w:jc w:val="center"/>
        </w:trPr>
        <w:tc>
          <w:tcPr>
            <w:tcW w:w="1671" w:type="dxa"/>
            <w:vMerge w:val="restart"/>
            <w:tcBorders>
              <w:tl2br w:val="nil"/>
              <w:tr2bl w:val="nil"/>
            </w:tcBorders>
            <w:shd w:val="clear" w:color="auto" w:fill="auto"/>
            <w:tcMar>
              <w:top w:w="20" w:type="dxa"/>
              <w:left w:w="20" w:type="dxa"/>
              <w:bottom w:w="0" w:type="dxa"/>
              <w:right w:w="20" w:type="dxa"/>
            </w:tcMar>
            <w:vAlign w:val="center"/>
          </w:tcPr>
          <w:p w14:paraId="687A4A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w:t>
            </w:r>
            <w:r>
              <w:rPr>
                <w:rFonts w:hint="eastAsia" w:ascii="方正仿宋_GBK" w:hAnsi="方正仿宋_GBK" w:eastAsia="方正仿宋_GBK" w:cs="方正仿宋_GBK"/>
                <w:sz w:val="28"/>
                <w:szCs w:val="28"/>
                <w:lang w:val="en-US" w:eastAsia="zh-CN"/>
              </w:rPr>
              <w:t>团队成员</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20分</w:t>
            </w:r>
            <w:r>
              <w:rPr>
                <w:rFonts w:hint="eastAsia" w:ascii="方正仿宋_GBK" w:hAnsi="方正仿宋_GBK" w:eastAsia="方正仿宋_GBK" w:cs="方正仿宋_GBK"/>
                <w:color w:val="000000"/>
                <w:sz w:val="28"/>
                <w:szCs w:val="28"/>
                <w:lang w:eastAsia="zh-CN"/>
              </w:rPr>
              <w:t>）</w:t>
            </w:r>
          </w:p>
        </w:tc>
        <w:tc>
          <w:tcPr>
            <w:tcW w:w="7389" w:type="dxa"/>
            <w:vMerge w:val="restart"/>
            <w:tcBorders>
              <w:tl2br w:val="nil"/>
              <w:tr2bl w:val="nil"/>
            </w:tcBorders>
            <w:shd w:val="clear" w:color="auto" w:fill="auto"/>
            <w:tcMar>
              <w:top w:w="20" w:type="dxa"/>
              <w:left w:w="20" w:type="dxa"/>
              <w:bottom w:w="0" w:type="dxa"/>
              <w:right w:w="20" w:type="dxa"/>
            </w:tcMar>
            <w:vAlign w:val="center"/>
          </w:tcPr>
          <w:p w14:paraId="1AC46A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体验中心有校级领导具体分管，配备熟悉职业、具备相关专业高级职称或高级技师以上职业资格、具有较强组织管理和协调能力的专业人员担任中心负责人</w:t>
            </w:r>
            <w:r>
              <w:rPr>
                <w:rFonts w:hint="eastAsia" w:ascii="方正仿宋_GBK" w:hAnsi="方正仿宋_GBK" w:eastAsia="方正仿宋_GBK" w:cs="方正仿宋_GBK"/>
                <w:color w:val="000000"/>
                <w:sz w:val="28"/>
                <w:szCs w:val="28"/>
                <w:lang w:eastAsia="zh-CN"/>
              </w:rPr>
              <w:t>。</w:t>
            </w:r>
          </w:p>
          <w:p w14:paraId="149028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体验中心管理人员原则上不少于2人，并配有一定数量（不少于8人）具有职业背景和丰富实践经验的专职职业指导教师；指导教师</w:t>
            </w:r>
            <w:r>
              <w:rPr>
                <w:rFonts w:hint="eastAsia" w:ascii="方正仿宋_GBK" w:hAnsi="方正仿宋_GBK" w:eastAsia="方正仿宋_GBK" w:cs="方正仿宋_GBK"/>
                <w:sz w:val="28"/>
                <w:szCs w:val="28"/>
                <w:lang w:val="en-US" w:eastAsia="zh-CN"/>
              </w:rPr>
              <w:t>须</w:t>
            </w:r>
            <w:r>
              <w:rPr>
                <w:rFonts w:hint="eastAsia" w:ascii="方正仿宋_GBK" w:hAnsi="方正仿宋_GBK" w:eastAsia="方正仿宋_GBK" w:cs="方正仿宋_GBK"/>
                <w:sz w:val="28"/>
                <w:szCs w:val="28"/>
              </w:rPr>
              <w:t>具有教师资格证、具有中级及以上专业技术职称或技师以上职业资格证书（或执业资格证书）</w:t>
            </w:r>
            <w:r>
              <w:rPr>
                <w:rFonts w:hint="eastAsia" w:ascii="方正仿宋_GBK" w:hAnsi="方正仿宋_GBK" w:eastAsia="方正仿宋_GBK" w:cs="方正仿宋_GBK"/>
                <w:sz w:val="28"/>
                <w:szCs w:val="28"/>
                <w:lang w:eastAsia="zh-CN"/>
              </w:rPr>
              <w:t>。</w:t>
            </w:r>
          </w:p>
          <w:p w14:paraId="1F75BC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聘请具有职业背景和丰富实践经验的专家或专业技术人员（含不超过70周岁的离退休人员）担任兼职指导教师，兼职指导教师队伍相对稳定</w:t>
            </w:r>
            <w:r>
              <w:rPr>
                <w:rFonts w:hint="eastAsia" w:ascii="方正仿宋_GBK" w:hAnsi="方正仿宋_GBK" w:eastAsia="方正仿宋_GBK" w:cs="方正仿宋_GBK"/>
                <w:sz w:val="28"/>
                <w:szCs w:val="28"/>
                <w:lang w:eastAsia="zh-CN"/>
              </w:rPr>
              <w:t>。</w:t>
            </w:r>
          </w:p>
          <w:p w14:paraId="2A9232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职业体验中心管理人员和指导教师师德好，具有相应的从业背景</w:t>
            </w:r>
            <w:r>
              <w:rPr>
                <w:rFonts w:hint="eastAsia" w:ascii="方正仿宋_GBK" w:hAnsi="方正仿宋_GBK" w:eastAsia="方正仿宋_GBK" w:cs="方正仿宋_GBK"/>
                <w:color w:val="000000"/>
                <w:sz w:val="28"/>
                <w:szCs w:val="28"/>
                <w:lang w:eastAsia="zh-CN"/>
              </w:rPr>
              <w:t>。</w:t>
            </w:r>
          </w:p>
          <w:p w14:paraId="0D8CF7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制订了切实可行的职业体验中心管理人员和指导教师的工作要求和管理制度</w:t>
            </w:r>
            <w:r>
              <w:rPr>
                <w:rFonts w:hint="eastAsia" w:ascii="方正仿宋_GBK" w:hAnsi="方正仿宋_GBK" w:eastAsia="方正仿宋_GBK" w:cs="方正仿宋_GBK"/>
                <w:color w:val="000000"/>
                <w:sz w:val="28"/>
                <w:szCs w:val="28"/>
                <w:lang w:eastAsia="zh-CN"/>
              </w:rPr>
              <w:t>。</w:t>
            </w:r>
          </w:p>
        </w:tc>
      </w:tr>
      <w:tr w14:paraId="7731B3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312" w:hRule="atLeast"/>
          <w:jc w:val="center"/>
        </w:trPr>
        <w:tc>
          <w:tcPr>
            <w:tcW w:w="1671" w:type="dxa"/>
            <w:vMerge w:val="continue"/>
            <w:tcBorders>
              <w:tl2br w:val="nil"/>
              <w:tr2bl w:val="nil"/>
            </w:tcBorders>
            <w:shd w:val="clear" w:color="auto" w:fill="auto"/>
            <w:tcMar>
              <w:top w:w="20" w:type="dxa"/>
              <w:left w:w="20" w:type="dxa"/>
              <w:bottom w:w="0" w:type="dxa"/>
              <w:right w:w="20" w:type="dxa"/>
            </w:tcMar>
            <w:vAlign w:val="center"/>
          </w:tcPr>
          <w:p w14:paraId="18A4C3B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rPr>
            </w:pPr>
          </w:p>
        </w:tc>
        <w:tc>
          <w:tcPr>
            <w:tcW w:w="7389" w:type="dxa"/>
            <w:vMerge w:val="continue"/>
            <w:tcBorders>
              <w:tl2br w:val="nil"/>
              <w:tr2bl w:val="nil"/>
            </w:tcBorders>
            <w:shd w:val="clear" w:color="auto" w:fill="auto"/>
            <w:tcMar>
              <w:top w:w="20" w:type="dxa"/>
              <w:left w:w="20" w:type="dxa"/>
              <w:bottom w:w="0" w:type="dxa"/>
              <w:right w:w="20" w:type="dxa"/>
            </w:tcMar>
            <w:vAlign w:val="center"/>
          </w:tcPr>
          <w:p w14:paraId="158F31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sz w:val="28"/>
                <w:szCs w:val="28"/>
              </w:rPr>
            </w:pPr>
          </w:p>
        </w:tc>
      </w:tr>
      <w:tr w14:paraId="4561BD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312" w:hRule="atLeast"/>
          <w:jc w:val="center"/>
        </w:trPr>
        <w:tc>
          <w:tcPr>
            <w:tcW w:w="1671" w:type="dxa"/>
            <w:vMerge w:val="restart"/>
            <w:tcBorders>
              <w:tl2br w:val="nil"/>
              <w:tr2bl w:val="nil"/>
            </w:tcBorders>
            <w:shd w:val="clear" w:color="auto" w:fill="auto"/>
            <w:tcMar>
              <w:top w:w="20" w:type="dxa"/>
              <w:left w:w="20" w:type="dxa"/>
              <w:bottom w:w="0" w:type="dxa"/>
              <w:right w:w="20" w:type="dxa"/>
            </w:tcMar>
            <w:vAlign w:val="center"/>
          </w:tcPr>
          <w:p w14:paraId="527A59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rPr>
              <w:t>五、制度保障</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15分</w:t>
            </w:r>
            <w:r>
              <w:rPr>
                <w:rFonts w:hint="eastAsia" w:ascii="方正仿宋_GBK" w:hAnsi="方正仿宋_GBK" w:eastAsia="方正仿宋_GBK" w:cs="方正仿宋_GBK"/>
                <w:color w:val="000000"/>
                <w:sz w:val="28"/>
                <w:szCs w:val="28"/>
                <w:lang w:eastAsia="zh-CN"/>
              </w:rPr>
              <w:t>）</w:t>
            </w:r>
          </w:p>
        </w:tc>
        <w:tc>
          <w:tcPr>
            <w:tcW w:w="7389" w:type="dxa"/>
            <w:vMerge w:val="restart"/>
            <w:tcBorders>
              <w:tl2br w:val="nil"/>
              <w:tr2bl w:val="nil"/>
            </w:tcBorders>
            <w:shd w:val="clear" w:color="auto" w:fill="auto"/>
            <w:tcMar>
              <w:top w:w="20" w:type="dxa"/>
              <w:left w:w="20" w:type="dxa"/>
              <w:bottom w:w="0" w:type="dxa"/>
              <w:right w:w="20" w:type="dxa"/>
            </w:tcMar>
            <w:vAlign w:val="center"/>
          </w:tcPr>
          <w:p w14:paraId="3CEEC3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有符合实际的职业体验中心三年发展规划；能依据职业发展及时调整体验项目、更换设施设备、更新环境布置、优化体验流程</w:t>
            </w:r>
            <w:r>
              <w:rPr>
                <w:rFonts w:hint="eastAsia" w:ascii="方正仿宋_GBK" w:hAnsi="方正仿宋_GBK" w:eastAsia="方正仿宋_GBK" w:cs="方正仿宋_GBK"/>
                <w:color w:val="000000"/>
                <w:sz w:val="28"/>
                <w:szCs w:val="28"/>
                <w:lang w:eastAsia="zh-CN"/>
              </w:rPr>
              <w:t>。</w:t>
            </w:r>
          </w:p>
          <w:p w14:paraId="53C9A3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体验中心建构科学的管理制度和运行模式，工作、人员、设备、设施、安全、环保等管理制度齐全</w:t>
            </w:r>
            <w:r>
              <w:rPr>
                <w:rFonts w:hint="eastAsia" w:ascii="方正仿宋_GBK" w:hAnsi="方正仿宋_GBK" w:eastAsia="方正仿宋_GBK" w:cs="方正仿宋_GBK"/>
                <w:color w:val="000000"/>
                <w:sz w:val="28"/>
                <w:szCs w:val="28"/>
                <w:lang w:eastAsia="zh-CN"/>
              </w:rPr>
              <w:t>。</w:t>
            </w:r>
          </w:p>
          <w:p w14:paraId="6200CF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职业体验指导人员有明确的任务分工和岗位职责；能够及时对体验进行反思，及时改进工作</w:t>
            </w:r>
            <w:r>
              <w:rPr>
                <w:rFonts w:hint="eastAsia" w:ascii="方正仿宋_GBK" w:hAnsi="方正仿宋_GBK" w:eastAsia="方正仿宋_GBK" w:cs="方正仿宋_GBK"/>
                <w:color w:val="000000"/>
                <w:sz w:val="28"/>
                <w:szCs w:val="28"/>
                <w:lang w:eastAsia="zh-CN"/>
              </w:rPr>
              <w:t>。</w:t>
            </w:r>
          </w:p>
        </w:tc>
      </w:tr>
      <w:tr w14:paraId="6E0F2E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312" w:hRule="atLeast"/>
          <w:jc w:val="center"/>
        </w:trPr>
        <w:tc>
          <w:tcPr>
            <w:tcW w:w="1671" w:type="dxa"/>
            <w:vMerge w:val="continue"/>
            <w:tcBorders>
              <w:tl2br w:val="nil"/>
              <w:tr2bl w:val="nil"/>
            </w:tcBorders>
            <w:shd w:val="clear" w:color="auto" w:fill="auto"/>
            <w:tcMar>
              <w:top w:w="20" w:type="dxa"/>
              <w:left w:w="20" w:type="dxa"/>
              <w:bottom w:w="0" w:type="dxa"/>
              <w:right w:w="20" w:type="dxa"/>
            </w:tcMar>
            <w:vAlign w:val="center"/>
          </w:tcPr>
          <w:p w14:paraId="13E28FF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rPr>
            </w:pPr>
          </w:p>
        </w:tc>
        <w:tc>
          <w:tcPr>
            <w:tcW w:w="7389" w:type="dxa"/>
            <w:vMerge w:val="continue"/>
            <w:tcBorders>
              <w:tl2br w:val="nil"/>
              <w:tr2bl w:val="nil"/>
            </w:tcBorders>
            <w:shd w:val="clear" w:color="auto" w:fill="auto"/>
            <w:tcMar>
              <w:top w:w="20" w:type="dxa"/>
              <w:left w:w="20" w:type="dxa"/>
              <w:bottom w:w="0" w:type="dxa"/>
              <w:right w:w="20" w:type="dxa"/>
            </w:tcMar>
            <w:vAlign w:val="center"/>
          </w:tcPr>
          <w:p w14:paraId="770284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sz w:val="28"/>
                <w:szCs w:val="28"/>
              </w:rPr>
            </w:pPr>
          </w:p>
        </w:tc>
      </w:tr>
      <w:tr w14:paraId="034BCE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312" w:hRule="atLeast"/>
          <w:jc w:val="center"/>
        </w:trPr>
        <w:tc>
          <w:tcPr>
            <w:tcW w:w="1671" w:type="dxa"/>
            <w:vMerge w:val="restart"/>
            <w:tcBorders>
              <w:tl2br w:val="nil"/>
              <w:tr2bl w:val="nil"/>
            </w:tcBorders>
            <w:shd w:val="clear" w:color="auto" w:fill="auto"/>
            <w:tcMar>
              <w:top w:w="20" w:type="dxa"/>
              <w:left w:w="20" w:type="dxa"/>
              <w:bottom w:w="0" w:type="dxa"/>
              <w:right w:w="20" w:type="dxa"/>
            </w:tcMar>
            <w:vAlign w:val="center"/>
          </w:tcPr>
          <w:p w14:paraId="0434C1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rPr>
              <w:t>六、建设特色</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10分</w:t>
            </w:r>
            <w:r>
              <w:rPr>
                <w:rFonts w:hint="eastAsia" w:ascii="方正仿宋_GBK" w:hAnsi="方正仿宋_GBK" w:eastAsia="方正仿宋_GBK" w:cs="方正仿宋_GBK"/>
                <w:color w:val="000000"/>
                <w:sz w:val="28"/>
                <w:szCs w:val="28"/>
                <w:lang w:eastAsia="zh-CN"/>
              </w:rPr>
              <w:t>）</w:t>
            </w:r>
          </w:p>
        </w:tc>
        <w:tc>
          <w:tcPr>
            <w:tcW w:w="7389" w:type="dxa"/>
            <w:vMerge w:val="restart"/>
            <w:tcBorders>
              <w:tl2br w:val="nil"/>
              <w:tr2bl w:val="nil"/>
            </w:tcBorders>
            <w:shd w:val="clear" w:color="auto" w:fill="auto"/>
            <w:tcMar>
              <w:top w:w="20" w:type="dxa"/>
              <w:left w:w="20" w:type="dxa"/>
              <w:bottom w:w="0" w:type="dxa"/>
              <w:right w:w="20" w:type="dxa"/>
            </w:tcMar>
            <w:vAlign w:val="center"/>
          </w:tcPr>
          <w:p w14:paraId="631B39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right="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lang w:val="en-US" w:eastAsia="zh-CN"/>
              </w:rPr>
              <w:t>在职普融通、产教融合、科普知识、劳动教育、国际交流等方面有建设特色</w:t>
            </w:r>
            <w:r>
              <w:rPr>
                <w:rFonts w:hint="eastAsia" w:ascii="方正仿宋_GBK" w:hAnsi="方正仿宋_GBK" w:eastAsia="方正仿宋_GBK" w:cs="方正仿宋_GBK"/>
                <w:color w:val="000000"/>
                <w:sz w:val="28"/>
                <w:szCs w:val="28"/>
                <w:lang w:eastAsia="zh-CN"/>
              </w:rPr>
              <w:t>。</w:t>
            </w:r>
          </w:p>
        </w:tc>
      </w:tr>
      <w:tr w14:paraId="53095E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385" w:hRule="atLeast"/>
          <w:jc w:val="center"/>
        </w:trPr>
        <w:tc>
          <w:tcPr>
            <w:tcW w:w="1671" w:type="dxa"/>
            <w:vMerge w:val="continue"/>
            <w:tcBorders>
              <w:tl2br w:val="nil"/>
              <w:tr2bl w:val="nil"/>
            </w:tcBorders>
            <w:shd w:val="clear" w:color="auto" w:fill="auto"/>
            <w:tcMar>
              <w:top w:w="20" w:type="dxa"/>
              <w:left w:w="20" w:type="dxa"/>
              <w:bottom w:w="0" w:type="dxa"/>
              <w:right w:w="20" w:type="dxa"/>
            </w:tcMar>
            <w:vAlign w:val="center"/>
          </w:tcPr>
          <w:p w14:paraId="2470CD3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7389" w:type="dxa"/>
            <w:vMerge w:val="continue"/>
            <w:tcBorders>
              <w:tl2br w:val="nil"/>
              <w:tr2bl w:val="nil"/>
            </w:tcBorders>
            <w:shd w:val="clear" w:color="auto" w:fill="auto"/>
            <w:tcMar>
              <w:top w:w="20" w:type="dxa"/>
              <w:left w:w="20" w:type="dxa"/>
              <w:bottom w:w="0" w:type="dxa"/>
              <w:right w:w="20" w:type="dxa"/>
            </w:tcMar>
            <w:vAlign w:val="center"/>
          </w:tcPr>
          <w:p w14:paraId="6B2941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8"/>
                <w:szCs w:val="28"/>
              </w:rPr>
            </w:pPr>
          </w:p>
        </w:tc>
      </w:tr>
      <w:tr w14:paraId="0D0938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385" w:hRule="atLeast"/>
          <w:jc w:val="center"/>
        </w:trPr>
        <w:tc>
          <w:tcPr>
            <w:tcW w:w="1671" w:type="dxa"/>
            <w:vMerge w:val="continue"/>
            <w:tcBorders>
              <w:tl2br w:val="nil"/>
              <w:tr2bl w:val="nil"/>
            </w:tcBorders>
            <w:shd w:val="clear" w:color="auto" w:fill="auto"/>
            <w:tcMar>
              <w:top w:w="20" w:type="dxa"/>
              <w:left w:w="20" w:type="dxa"/>
              <w:bottom w:w="0" w:type="dxa"/>
              <w:right w:w="20" w:type="dxa"/>
            </w:tcMar>
            <w:vAlign w:val="center"/>
          </w:tcPr>
          <w:p w14:paraId="0228E03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7389" w:type="dxa"/>
            <w:vMerge w:val="continue"/>
            <w:tcBorders>
              <w:tl2br w:val="nil"/>
              <w:tr2bl w:val="nil"/>
            </w:tcBorders>
            <w:shd w:val="clear" w:color="auto" w:fill="auto"/>
            <w:tcMar>
              <w:top w:w="20" w:type="dxa"/>
              <w:left w:w="20" w:type="dxa"/>
              <w:bottom w:w="0" w:type="dxa"/>
              <w:right w:w="20" w:type="dxa"/>
            </w:tcMar>
            <w:vAlign w:val="center"/>
          </w:tcPr>
          <w:p w14:paraId="76A61A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8"/>
                <w:szCs w:val="28"/>
              </w:rPr>
            </w:pPr>
          </w:p>
        </w:tc>
      </w:tr>
      <w:tr w14:paraId="54E6E0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385" w:hRule="atLeast"/>
          <w:jc w:val="center"/>
        </w:trPr>
        <w:tc>
          <w:tcPr>
            <w:tcW w:w="1671" w:type="dxa"/>
            <w:vMerge w:val="continue"/>
            <w:tcBorders>
              <w:tl2br w:val="nil"/>
              <w:tr2bl w:val="nil"/>
            </w:tcBorders>
            <w:shd w:val="clear" w:color="auto" w:fill="auto"/>
            <w:tcMar>
              <w:top w:w="20" w:type="dxa"/>
              <w:left w:w="20" w:type="dxa"/>
              <w:bottom w:w="0" w:type="dxa"/>
              <w:right w:w="20" w:type="dxa"/>
            </w:tcMar>
            <w:vAlign w:val="center"/>
          </w:tcPr>
          <w:p w14:paraId="275E830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tc>
        <w:tc>
          <w:tcPr>
            <w:tcW w:w="7389" w:type="dxa"/>
            <w:vMerge w:val="continue"/>
            <w:tcBorders>
              <w:tl2br w:val="nil"/>
              <w:tr2bl w:val="nil"/>
            </w:tcBorders>
            <w:shd w:val="clear" w:color="auto" w:fill="auto"/>
            <w:tcMar>
              <w:top w:w="20" w:type="dxa"/>
              <w:left w:w="20" w:type="dxa"/>
              <w:bottom w:w="0" w:type="dxa"/>
              <w:right w:w="20" w:type="dxa"/>
            </w:tcMar>
            <w:vAlign w:val="center"/>
          </w:tcPr>
          <w:p w14:paraId="4A3BFF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8"/>
                <w:szCs w:val="28"/>
              </w:rPr>
            </w:pPr>
          </w:p>
        </w:tc>
      </w:tr>
      <w:tr w14:paraId="0513A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15" w:type="dxa"/>
            <w:left w:w="15" w:type="dxa"/>
            <w:bottom w:w="15" w:type="dxa"/>
            <w:right w:w="15" w:type="dxa"/>
          </w:tblCellMar>
        </w:tblPrEx>
        <w:trPr>
          <w:trHeight w:val="312" w:hRule="atLeast"/>
          <w:jc w:val="center"/>
        </w:trPr>
        <w:tc>
          <w:tcPr>
            <w:tcW w:w="1671" w:type="dxa"/>
            <w:vMerge w:val="continue"/>
            <w:tcBorders>
              <w:tl2br w:val="nil"/>
              <w:tr2bl w:val="nil"/>
            </w:tcBorders>
            <w:shd w:val="clear" w:color="auto" w:fill="auto"/>
            <w:tcMar>
              <w:top w:w="0" w:type="dxa"/>
              <w:left w:w="108" w:type="dxa"/>
              <w:bottom w:w="0" w:type="dxa"/>
              <w:right w:w="108" w:type="dxa"/>
            </w:tcMar>
            <w:vAlign w:val="center"/>
          </w:tcPr>
          <w:p w14:paraId="21C030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方正仿宋_GBK" w:hAnsi="方正仿宋_GBK" w:eastAsia="方正仿宋_GBK" w:cs="方正仿宋_GBK"/>
                <w:sz w:val="28"/>
                <w:szCs w:val="28"/>
              </w:rPr>
            </w:pPr>
          </w:p>
        </w:tc>
        <w:tc>
          <w:tcPr>
            <w:tcW w:w="7389" w:type="dxa"/>
            <w:vMerge w:val="continue"/>
            <w:tcBorders>
              <w:tl2br w:val="nil"/>
              <w:tr2bl w:val="nil"/>
            </w:tcBorders>
            <w:shd w:val="clear" w:color="auto" w:fill="auto"/>
            <w:tcMar>
              <w:top w:w="20" w:type="dxa"/>
              <w:left w:w="20" w:type="dxa"/>
              <w:bottom w:w="0" w:type="dxa"/>
              <w:right w:w="20" w:type="dxa"/>
            </w:tcMar>
            <w:vAlign w:val="center"/>
          </w:tcPr>
          <w:p w14:paraId="071187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8"/>
                <w:szCs w:val="28"/>
              </w:rPr>
            </w:pPr>
          </w:p>
        </w:tc>
      </w:tr>
    </w:tbl>
    <w:p w14:paraId="1E7108D2">
      <w:pPr>
        <w:keepNext w:val="0"/>
        <w:keepLines w:val="0"/>
        <w:pageBreakBefore w:val="0"/>
        <w:kinsoku/>
        <w:wordWrap/>
        <w:overflowPunct/>
        <w:topLinePunct w:val="0"/>
        <w:autoSpaceDE/>
        <w:autoSpaceDN/>
        <w:bidi w:val="0"/>
        <w:adjustRightInd/>
        <w:snapToGrid/>
        <w:spacing w:line="520" w:lineRule="exact"/>
        <w:jc w:val="both"/>
        <w:textAlignment w:val="auto"/>
        <w:rPr>
          <w:rFonts w:ascii="方正仿宋_GBK" w:hAnsi="宋体" w:eastAsia="方正仿宋_GBK"/>
          <w:sz w:val="32"/>
          <w:szCs w:val="32"/>
        </w:rPr>
      </w:pPr>
    </w:p>
    <w:sectPr>
      <w:footerReference r:id="rId3" w:type="default"/>
      <w:footerReference r:id="rId4" w:type="even"/>
      <w:pgSz w:w="11906" w:h="16838"/>
      <w:pgMar w:top="1440" w:right="1803" w:bottom="1440" w:left="1803" w:header="851" w:footer="158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EC8FF">
    <w:pPr>
      <w:pStyle w:val="2"/>
      <w:framePr w:wrap="around" w:vAnchor="text" w:hAnchor="margin" w:xAlign="outside" w:y="1"/>
      <w:rPr>
        <w:rStyle w:val="7"/>
        <w:rFonts w:ascii="方正仿宋_GBK" w:eastAsia="方正仿宋_GBK"/>
        <w:sz w:val="28"/>
        <w:szCs w:val="28"/>
      </w:rPr>
    </w:pPr>
    <w:r>
      <w:rPr>
        <w:rStyle w:val="7"/>
        <w:rFonts w:ascii="方正仿宋_GBK" w:eastAsia="方正仿宋_GBK"/>
        <w:sz w:val="28"/>
        <w:szCs w:val="28"/>
      </w:rPr>
      <w:fldChar w:fldCharType="begin"/>
    </w:r>
    <w:r>
      <w:rPr>
        <w:rStyle w:val="7"/>
        <w:rFonts w:ascii="方正仿宋_GBK" w:eastAsia="方正仿宋_GBK"/>
        <w:sz w:val="28"/>
        <w:szCs w:val="28"/>
      </w:rPr>
      <w:instrText xml:space="preserve">PAGE  </w:instrText>
    </w:r>
    <w:r>
      <w:rPr>
        <w:rStyle w:val="7"/>
        <w:rFonts w:ascii="方正仿宋_GBK" w:eastAsia="方正仿宋_GBK"/>
        <w:sz w:val="28"/>
        <w:szCs w:val="28"/>
      </w:rPr>
      <w:fldChar w:fldCharType="separate"/>
    </w:r>
    <w:r>
      <w:rPr>
        <w:rStyle w:val="7"/>
        <w:rFonts w:ascii="方正仿宋_GBK" w:eastAsia="方正仿宋_GBK"/>
        <w:sz w:val="28"/>
        <w:szCs w:val="28"/>
      </w:rPr>
      <w:t>- 24 -</w:t>
    </w:r>
    <w:r>
      <w:rPr>
        <w:rStyle w:val="7"/>
        <w:rFonts w:ascii="方正仿宋_GBK" w:eastAsia="方正仿宋_GBK"/>
        <w:sz w:val="28"/>
        <w:szCs w:val="28"/>
      </w:rPr>
      <w:fldChar w:fldCharType="end"/>
    </w:r>
  </w:p>
  <w:p w14:paraId="51D33441">
    <w:pPr>
      <w:pStyle w:val="2"/>
      <w:ind w:right="360" w:firstLine="360"/>
    </w:pPr>
  </w:p>
  <w:p w14:paraId="11ADAF6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1054">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467238F5">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djYWM1Njc4ODJiMTgyNDk1MmFiNWFkYmExM2VhM2EifQ=="/>
  </w:docVars>
  <w:rsids>
    <w:rsidRoot w:val="003E3742"/>
    <w:rsid w:val="0007242A"/>
    <w:rsid w:val="00084773"/>
    <w:rsid w:val="000C2592"/>
    <w:rsid w:val="002162CA"/>
    <w:rsid w:val="00330EB1"/>
    <w:rsid w:val="003C37FE"/>
    <w:rsid w:val="003E3742"/>
    <w:rsid w:val="00415EFC"/>
    <w:rsid w:val="004500C9"/>
    <w:rsid w:val="0047340B"/>
    <w:rsid w:val="004D74F5"/>
    <w:rsid w:val="00566AA0"/>
    <w:rsid w:val="007F681C"/>
    <w:rsid w:val="008B3738"/>
    <w:rsid w:val="009A602E"/>
    <w:rsid w:val="00B053F6"/>
    <w:rsid w:val="00BD25EC"/>
    <w:rsid w:val="00CF26B3"/>
    <w:rsid w:val="00DB0498"/>
    <w:rsid w:val="00FD46AD"/>
    <w:rsid w:val="01ED5EB7"/>
    <w:rsid w:val="073A4EC4"/>
    <w:rsid w:val="079B0DD5"/>
    <w:rsid w:val="08A226A0"/>
    <w:rsid w:val="0A824EDD"/>
    <w:rsid w:val="0DD266E2"/>
    <w:rsid w:val="0FF37F5E"/>
    <w:rsid w:val="10DB2196"/>
    <w:rsid w:val="12A42615"/>
    <w:rsid w:val="165235BC"/>
    <w:rsid w:val="1B337414"/>
    <w:rsid w:val="1BCB60B7"/>
    <w:rsid w:val="1C1C062F"/>
    <w:rsid w:val="1C231C74"/>
    <w:rsid w:val="21432277"/>
    <w:rsid w:val="214A0A43"/>
    <w:rsid w:val="21D52A24"/>
    <w:rsid w:val="29A30C8C"/>
    <w:rsid w:val="2AA735B0"/>
    <w:rsid w:val="2C0C0FE1"/>
    <w:rsid w:val="2C3F05DB"/>
    <w:rsid w:val="2DA33793"/>
    <w:rsid w:val="2E2A5A9A"/>
    <w:rsid w:val="31120A01"/>
    <w:rsid w:val="32FAC414"/>
    <w:rsid w:val="369246C4"/>
    <w:rsid w:val="39291F72"/>
    <w:rsid w:val="3ABF1F27"/>
    <w:rsid w:val="3EA65BCC"/>
    <w:rsid w:val="3FC37A67"/>
    <w:rsid w:val="41D665CE"/>
    <w:rsid w:val="4321055C"/>
    <w:rsid w:val="433E7571"/>
    <w:rsid w:val="4EE229AA"/>
    <w:rsid w:val="4F50223C"/>
    <w:rsid w:val="50B23FE7"/>
    <w:rsid w:val="51796016"/>
    <w:rsid w:val="5D7B75A5"/>
    <w:rsid w:val="65BE5C42"/>
    <w:rsid w:val="662760C2"/>
    <w:rsid w:val="67E42CB4"/>
    <w:rsid w:val="6C7D1963"/>
    <w:rsid w:val="740C16F8"/>
    <w:rsid w:val="74C55EB4"/>
    <w:rsid w:val="75B73FE6"/>
    <w:rsid w:val="78442BB3"/>
    <w:rsid w:val="787415BC"/>
    <w:rsid w:val="792F53F6"/>
    <w:rsid w:val="7BDA492A"/>
    <w:rsid w:val="EFFA31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99"/>
    <w:rPr>
      <w:rFonts w:cs="Times New Roman"/>
    </w:rPr>
  </w:style>
  <w:style w:type="character" w:customStyle="1" w:styleId="8">
    <w:name w:val="Footer Char"/>
    <w:basedOn w:val="6"/>
    <w:link w:val="2"/>
    <w:qFormat/>
    <w:locked/>
    <w:uiPriority w:val="99"/>
    <w:rPr>
      <w:rFonts w:cs="Times New Roman"/>
      <w:sz w:val="18"/>
      <w:szCs w:val="18"/>
    </w:rPr>
  </w:style>
  <w:style w:type="character" w:customStyle="1" w:styleId="9">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Pages>
  <Words>1633</Words>
  <Characters>1665</Characters>
  <Lines>0</Lines>
  <Paragraphs>0</Paragraphs>
  <TotalTime>0</TotalTime>
  <ScaleCrop>false</ScaleCrop>
  <LinksUpToDate>false</LinksUpToDate>
  <CharactersWithSpaces>1665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2020-09-27T10:55:00Z</dcterms:created>
  <dc:creator>倪朦</dc:creator>
  <cp:lastModifiedBy>曹宝亚</cp:lastModifiedBy>
  <cp:lastPrinted>2021-10-22T15:59:00Z</cp:lastPrinted>
  <dcterms:modified xsi:type="dcterms:W3CDTF">2024-10-17T00:17:55Z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605292E1B7A247FBBC2FA81C513E278D_12</vt:lpwstr>
  </property>
</Properties>
</file>