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附件2：第二届化学知识竞赛内容参考课程</w:t>
      </w:r>
    </w:p>
    <w:p>
      <w:pPr>
        <w:spacing w:line="380" w:lineRule="exact"/>
        <w:rPr>
          <w:rFonts w:ascii="Times New Roman" w:hAnsi="Times New Roman" w:eastAsia="宋体" w:cs="Times New Roman"/>
          <w:sz w:val="24"/>
        </w:rPr>
      </w:pPr>
    </w:p>
    <w:tbl>
      <w:tblPr>
        <w:tblStyle w:val="2"/>
        <w:tblW w:w="88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4397"/>
        <w:gridCol w:w="31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jc w:val="center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中国大学MOOC(慕课)_国家精品课程在线学习平台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jc w:val="left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jc w:val="left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课程名称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jc w:val="left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 xml:space="preserve"> 课程单位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jc w:val="left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无机化学（上、下）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jc w:val="left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天津大学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jc w:val="left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有机化学（上、下）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jc w:val="left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天津大学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jc w:val="left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3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分析化学（一、二、三）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jc w:val="left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湖南大学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jc w:val="left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4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物理化学（上下）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jc w:val="left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天津大学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jc w:val="left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5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化学与健康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jc w:val="left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青岛科技大学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jc w:val="left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6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rPr>
                <w:rFonts w:ascii="仿宋_GB2312" w:hAnsi="Arial Narrow" w:eastAsia="仿宋_GB2312" w:cs="宋体"/>
                <w:sz w:val="28"/>
                <w:szCs w:val="28"/>
              </w:rPr>
            </w:pPr>
            <w:bookmarkStart w:id="0" w:name="RANGE!B4"/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化学与人类文明</w:t>
            </w:r>
            <w:bookmarkEnd w:id="0"/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jc w:val="left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西安交通大学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1190" w:leftChars="100" w:hanging="980" w:hangingChars="350"/>
              <w:jc w:val="center"/>
              <w:rPr>
                <w:rFonts w:ascii="仿宋_GB2312" w:hAnsi="Arial Narrow" w:eastAsia="仿宋_GB2312" w:cs="宋体"/>
                <w:sz w:val="28"/>
                <w:szCs w:val="28"/>
              </w:rPr>
            </w:pPr>
            <w:r>
              <w:rPr>
                <w:rFonts w:hint="eastAsia" w:ascii="仿宋_GB2312" w:hAnsi="Arial Narrow" w:eastAsia="仿宋_GB2312" w:cs="宋体"/>
                <w:sz w:val="28"/>
                <w:szCs w:val="28"/>
              </w:rPr>
              <w:t>网址： https://www.icourse163.org/</w:t>
            </w: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44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d w:val="34700648"/>
      <w:docPartObj>
        <w:docPartGallery w:val="autotext"/>
      </w:docPartObj>
    </w:sdtPr>
    <w:sdtEndP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right"/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Times New Roman" w:hAnsi="Times New Roman" w:eastAsia="宋体" w:cs="Times New Roman"/>
            <w:kern w:val="2"/>
            <w:sz w:val="18"/>
            <w:szCs w:val="18"/>
            <w:lang w:val="zh-CN" w:eastAsia="zh-CN" w:bidi="ar-SA"/>
          </w:rPr>
          <w:t>1</w:t>
        </w:r>
        <w:r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2019-03-18T01:31:55Z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